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r>
        <w:rPr>
          <w:rFonts w:hint="eastAsia" w:ascii="黑体" w:hAnsi="宋体" w:eastAsia="黑体" w:cs="黑体"/>
          <w:sz w:val="32"/>
          <w:szCs w:val="32"/>
        </w:rPr>
        <w:t>不动产估价委托合同</w:t>
      </w:r>
    </w:p>
    <w:p>
      <w:pPr>
        <w:wordWrap w:val="0"/>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[20</w:t>
      </w:r>
      <w:r>
        <w:rPr>
          <w:rFonts w:hint="eastAsia" w:ascii="黑体" w:hAnsi="宋体" w:eastAsia="黑体" w:cs="黑体"/>
        </w:rPr>
        <w:t>2</w:t>
      </w:r>
      <w:r>
        <w:rPr>
          <w:rFonts w:hint="eastAsia" w:ascii="黑体" w:hAnsi="宋体" w:eastAsia="黑体" w:cs="黑体"/>
          <w:lang w:val="en-US" w:eastAsia="zh-CN"/>
        </w:rPr>
        <w:t>2</w:t>
      </w:r>
      <w:r>
        <w:rPr>
          <w:rFonts w:ascii="黑体" w:hAnsi="宋体" w:eastAsia="黑体" w:cs="黑体"/>
        </w:rPr>
        <w:t>]</w:t>
      </w:r>
      <w:r>
        <w:rPr>
          <w:rFonts w:hint="eastAsia" w:ascii="黑体" w:hAnsi="宋体" w:eastAsia="黑体" w:cs="黑体"/>
        </w:rPr>
        <w:t xml:space="preserve">   号</w:t>
      </w:r>
    </w:p>
    <w:p>
      <w:pPr>
        <w:tabs>
          <w:tab w:val="left" w:pos="7560"/>
        </w:tabs>
        <w:spacing w:before="62" w:beforeLines="20" w:after="62" w:afterLines="20" w:line="480" w:lineRule="auto"/>
        <w:ind w:firstLine="482" w:firstLineChars="200"/>
        <w:rPr>
          <w:rFonts w:ascii="宋体" w:cs="宋体"/>
          <w:b/>
          <w:bCs/>
          <w:sz w:val="24"/>
          <w:szCs w:val="24"/>
        </w:rPr>
      </w:pPr>
    </w:p>
    <w:p>
      <w:pPr>
        <w:tabs>
          <w:tab w:val="left" w:pos="7560"/>
        </w:tabs>
        <w:spacing w:before="62" w:beforeLines="20" w:after="62" w:afterLines="20" w:line="480" w:lineRule="auto"/>
        <w:ind w:firstLine="482" w:firstLineChars="200"/>
        <w:rPr>
          <w:rFonts w:ascii="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lang w:eastAsia="zh-CN"/>
        </w:rPr>
        <w:t>王志军</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pPr>
        <w:spacing w:line="400" w:lineRule="exact"/>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依照《中华人民共和国民法典》、《中华人民共和国资产评估法》等法律、行政法规，经双方平等协商，特订立本合同，以资共同信守。</w:t>
      </w:r>
    </w:p>
    <w:p>
      <w:pPr>
        <w:spacing w:line="400" w:lineRule="exact"/>
        <w:ind w:firstLine="480" w:firstLineChars="200"/>
        <w:rPr>
          <w:rFonts w:ascii="宋体"/>
          <w:sz w:val="24"/>
          <w:szCs w:val="24"/>
          <w:u w:val="single"/>
        </w:rPr>
      </w:pPr>
    </w:p>
    <w:p>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bCs/>
          <w:sz w:val="24"/>
          <w:szCs w:val="24"/>
          <w:u w:val="single"/>
        </w:rPr>
        <w:t>北京市海淀区定慧北里30号楼四单元二层2号住宅用房</w:t>
      </w:r>
      <w:r>
        <w:rPr>
          <w:rFonts w:hint="eastAsia" w:ascii="宋体" w:hAnsi="宋体" w:cs="宋体"/>
          <w:b/>
          <w:bCs/>
          <w:sz w:val="24"/>
          <w:szCs w:val="24"/>
          <w:u w:val="single"/>
          <w:lang w:val="en-US" w:eastAsia="zh-CN"/>
        </w:rPr>
        <w:t>房地产</w:t>
      </w:r>
      <w:r>
        <w:rPr>
          <w:rFonts w:ascii="宋体" w:hAnsi="宋体" w:cs="宋体"/>
          <w:b/>
          <w:bCs/>
          <w:sz w:val="24"/>
          <w:szCs w:val="24"/>
          <w:u w:val="single"/>
        </w:rPr>
        <w:t xml:space="preserve">             </w:t>
      </w:r>
      <w:bookmarkStart w:id="0" w:name="_GoBack"/>
      <w:bookmarkEnd w:id="0"/>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b/>
          <w:bCs/>
          <w:sz w:val="24"/>
          <w:szCs w:val="24"/>
          <w:u w:val="single"/>
        </w:rPr>
        <w:t>为估价委托人核定估价对象在设定条件下的房地产市场价值提供参考依据</w:t>
      </w:r>
      <w:r>
        <w:rPr>
          <w:rFonts w:ascii="宋体" w:hAnsi="宋体" w:cs="宋体"/>
          <w:b/>
          <w:bCs/>
          <w:sz w:val="24"/>
          <w:szCs w:val="24"/>
          <w:u w:val="single"/>
        </w:rPr>
        <w:t xml:space="preserve">            </w:t>
      </w:r>
    </w:p>
    <w:p>
      <w:pPr>
        <w:pStyle w:val="12"/>
        <w:spacing w:before="62" w:beforeLines="20" w:after="62" w:afterLines="20" w:line="480" w:lineRule="auto"/>
        <w:ind w:firstLine="482" w:firstLineChars="200"/>
        <w:rPr>
          <w:rFonts w:cs="Times New Roman"/>
        </w:rPr>
      </w:pPr>
      <w:r>
        <w:rPr>
          <w:rFonts w:hint="eastAsia"/>
        </w:rPr>
        <w:t>三、估价对象和估价范围：</w:t>
      </w:r>
      <w:r>
        <w:rPr>
          <w:rFonts w:hint="eastAsia"/>
          <w:u w:val="single"/>
        </w:rPr>
        <w:t>北京市海淀区定慧北里30号楼四单元二层2号</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hint="eastAsia" w:ascii="宋体" w:hAnsi="宋体" w:cs="宋体"/>
          <w:b/>
          <w:bCs/>
          <w:sz w:val="24"/>
          <w:szCs w:val="24"/>
          <w:u w:val="single"/>
        </w:rPr>
        <w:t xml:space="preserve"> 详见《估价委托书》  </w:t>
      </w:r>
      <w:r>
        <w:rPr>
          <w:rFonts w:ascii="宋体" w:hAnsi="宋体" w:cs="宋体"/>
          <w:b/>
          <w:bCs/>
          <w:sz w:val="24"/>
          <w:szCs w:val="24"/>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五、价值类型：</w:t>
      </w:r>
      <w:r>
        <w:rPr>
          <w:rFonts w:ascii="宋体" w:hAnsi="宋体" w:cs="宋体"/>
          <w:b/>
          <w:bCs/>
          <w:sz w:val="24"/>
          <w:szCs w:val="24"/>
          <w:u w:val="single"/>
        </w:rPr>
        <w:t xml:space="preserve"> </w:t>
      </w:r>
      <w:r>
        <w:rPr>
          <w:rFonts w:hint="eastAsia" w:ascii="宋体" w:hAnsi="宋体" w:cs="宋体"/>
          <w:b/>
          <w:bCs/>
          <w:sz w:val="24"/>
          <w:szCs w:val="24"/>
          <w:u w:val="single"/>
        </w:rPr>
        <w:t>市场价值</w:t>
      </w:r>
      <w:r>
        <w:rPr>
          <w:rFonts w:ascii="宋体" w:hAnsi="宋体" w:cs="宋体"/>
          <w:b/>
          <w:bCs/>
          <w:sz w:val="24"/>
          <w:szCs w:val="24"/>
          <w:u w:val="single"/>
        </w:rPr>
        <w:t xml:space="preserve"> </w:t>
      </w:r>
      <w:r>
        <w:rPr>
          <w:rFonts w:hint="eastAsia" w:ascii="宋体" w:hAnsi="宋体" w:cs="宋体"/>
          <w:b/>
          <w:bCs/>
          <w:sz w:val="24"/>
          <w:szCs w:val="24"/>
          <w:u w:val="single"/>
        </w:rPr>
        <w:t xml:space="preserve"> </w:t>
      </w:r>
      <w:r>
        <w:rPr>
          <w:rFonts w:ascii="宋体" w:hAnsi="宋体" w:cs="宋体"/>
          <w:b/>
          <w:bCs/>
          <w:sz w:val="24"/>
          <w:szCs w:val="24"/>
          <w:u w:val="single"/>
        </w:rPr>
        <w:t xml:space="preserve"> </w:t>
      </w:r>
    </w:p>
    <w:p>
      <w:pPr>
        <w:spacing w:before="62" w:beforeLines="20" w:after="62" w:afterLines="20" w:line="400" w:lineRule="exact"/>
        <w:ind w:firstLine="482" w:firstLineChars="200"/>
        <w:rPr>
          <w:rFonts w:ascii="宋体"/>
          <w:b/>
          <w:bCs/>
          <w:sz w:val="24"/>
          <w:szCs w:val="24"/>
        </w:rPr>
      </w:pPr>
    </w:p>
    <w:p>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甲方应先期准备或指定不动产权利人、此次经济行为相关方提供乙方估价所需的不动产权属证明及其他相关资料。在正常情况下，乙方收到上述应提供的全部资料后，组织评估专业人员在</w:t>
      </w:r>
      <w:r>
        <w:rPr>
          <w:rFonts w:hint="eastAsia" w:ascii="宋体" w:hAnsi="宋体" w:cs="宋体"/>
          <w:sz w:val="24"/>
          <w:szCs w:val="24"/>
          <w:lang w:eastAsia="zh-CN"/>
        </w:rPr>
        <w:t>五</w:t>
      </w:r>
      <w:r>
        <w:rPr>
          <w:rFonts w:hint="eastAsia" w:ascii="宋体" w:hAnsi="宋体" w:cs="宋体"/>
          <w:sz w:val="24"/>
          <w:szCs w:val="24"/>
        </w:rPr>
        <w:t>个工作日内完成甲方委托的评估工作，并向甲方提交《不动产估价报告书》。若甲方（含其指定不动产权利人、此次经济行为相关方）不能及时提供资料，乙方可以顺延提交报告的时间。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pPr>
        <w:tabs>
          <w:tab w:val="left" w:pos="720"/>
        </w:tabs>
        <w:spacing w:before="62" w:beforeLines="20" w:after="62" w:afterLines="20"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参照北京市物价局、北京市房屋土地管理局关于房地产中介服务收费的通知【京价（房）字[1997]第398号】的相关规定，结合此次特定评估目的及本项目评估工作的繁简程度，经双方协商，在标准收费基础上设定相应的系数调节，详见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6"/>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36" w:type="dxa"/>
          </w:tcPr>
          <w:p>
            <w:pPr>
              <w:tabs>
                <w:tab w:val="left" w:pos="720"/>
              </w:tabs>
              <w:spacing w:line="360" w:lineRule="auto"/>
              <w:jc w:val="center"/>
              <w:rPr>
                <w:rFonts w:ascii="Arial" w:hAnsi="Arial" w:cs="Arial"/>
                <w:sz w:val="24"/>
                <w:szCs w:val="24"/>
              </w:rPr>
            </w:pPr>
            <w:r>
              <w:rPr>
                <w:rFonts w:hint="eastAsia" w:ascii="Arial" w:hAnsi="Arial" w:cs="Arial"/>
                <w:sz w:val="24"/>
                <w:szCs w:val="24"/>
              </w:rPr>
              <w:t>特殊因素</w:t>
            </w:r>
          </w:p>
        </w:tc>
        <w:tc>
          <w:tcPr>
            <w:tcW w:w="3302" w:type="dxa"/>
          </w:tcPr>
          <w:p>
            <w:pPr>
              <w:tabs>
                <w:tab w:val="left" w:pos="720"/>
              </w:tabs>
              <w:spacing w:line="360" w:lineRule="auto"/>
              <w:jc w:val="center"/>
              <w:rPr>
                <w:rFonts w:ascii="Arial" w:hAnsi="Arial" w:cs="Arial"/>
                <w:sz w:val="24"/>
                <w:szCs w:val="24"/>
              </w:rPr>
            </w:pPr>
            <w:r>
              <w:rPr>
                <w:rFonts w:ascii="Arial" w:hAnsi="Arial" w:cs="Arial"/>
                <w:sz w:val="24"/>
                <w:szCs w:val="24"/>
              </w:rPr>
              <w:t>收费调节系数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36" w:type="dxa"/>
          </w:tcPr>
          <w:p>
            <w:pPr>
              <w:tabs>
                <w:tab w:val="left" w:pos="720"/>
              </w:tabs>
              <w:spacing w:line="360" w:lineRule="auto"/>
              <w:jc w:val="center"/>
              <w:rPr>
                <w:rFonts w:ascii="Arial" w:hAnsi="Arial" w:cs="Arial"/>
                <w:sz w:val="24"/>
                <w:szCs w:val="24"/>
              </w:rPr>
            </w:pPr>
            <w:r>
              <w:rPr>
                <w:rFonts w:ascii="Arial" w:hAnsi="Arial" w:cs="Arial"/>
                <w:sz w:val="24"/>
                <w:szCs w:val="24"/>
              </w:rPr>
              <w:t>价值时点距合同签订日5年内</w:t>
            </w:r>
          </w:p>
        </w:tc>
        <w:tc>
          <w:tcPr>
            <w:tcW w:w="3302" w:type="dxa"/>
          </w:tcPr>
          <w:p>
            <w:pPr>
              <w:tabs>
                <w:tab w:val="left" w:pos="720"/>
              </w:tabs>
              <w:spacing w:line="360" w:lineRule="auto"/>
              <w:jc w:val="center"/>
              <w:rPr>
                <w:rFonts w:ascii="Arial" w:hAnsi="Arial" w:cs="Arial"/>
                <w:sz w:val="24"/>
                <w:szCs w:val="24"/>
              </w:rPr>
            </w:pPr>
            <w:r>
              <w:rPr>
                <w:rFonts w:ascii="Arial" w:hAnsi="Arial" w:cs="Arial"/>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36" w:type="dxa"/>
          </w:tcPr>
          <w:p>
            <w:pPr>
              <w:tabs>
                <w:tab w:val="left" w:pos="720"/>
              </w:tabs>
              <w:spacing w:line="360" w:lineRule="auto"/>
              <w:jc w:val="center"/>
              <w:rPr>
                <w:rFonts w:ascii="Arial" w:hAnsi="Arial" w:cs="Arial"/>
                <w:sz w:val="24"/>
                <w:szCs w:val="24"/>
              </w:rPr>
            </w:pPr>
            <w:r>
              <w:rPr>
                <w:rFonts w:ascii="Arial" w:hAnsi="Arial" w:cs="Arial"/>
                <w:sz w:val="24"/>
                <w:szCs w:val="24"/>
              </w:rPr>
              <w:t>价值时点距合同签订日5-10年</w:t>
            </w:r>
          </w:p>
        </w:tc>
        <w:tc>
          <w:tcPr>
            <w:tcW w:w="3302" w:type="dxa"/>
          </w:tcPr>
          <w:p>
            <w:pPr>
              <w:tabs>
                <w:tab w:val="left" w:pos="720"/>
              </w:tabs>
              <w:spacing w:line="360" w:lineRule="auto"/>
              <w:jc w:val="center"/>
              <w:rPr>
                <w:rFonts w:ascii="Arial" w:hAnsi="Arial" w:cs="Arial"/>
                <w:sz w:val="24"/>
                <w:szCs w:val="24"/>
              </w:rPr>
            </w:pPr>
            <w:r>
              <w:rPr>
                <w:rFonts w:ascii="Arial" w:hAnsi="Arial" w:cs="Arial"/>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36" w:type="dxa"/>
          </w:tcPr>
          <w:p>
            <w:pPr>
              <w:tabs>
                <w:tab w:val="left" w:pos="720"/>
              </w:tabs>
              <w:spacing w:line="360" w:lineRule="auto"/>
              <w:jc w:val="center"/>
              <w:rPr>
                <w:rFonts w:ascii="Arial" w:hAnsi="Arial" w:cs="Arial"/>
                <w:sz w:val="24"/>
                <w:szCs w:val="24"/>
              </w:rPr>
            </w:pPr>
            <w:r>
              <w:rPr>
                <w:rFonts w:ascii="Arial" w:hAnsi="Arial" w:cs="Arial"/>
                <w:sz w:val="24"/>
                <w:szCs w:val="24"/>
              </w:rPr>
              <w:t>价值时点距合同签订日10-15年</w:t>
            </w:r>
          </w:p>
        </w:tc>
        <w:tc>
          <w:tcPr>
            <w:tcW w:w="3302" w:type="dxa"/>
          </w:tcPr>
          <w:p>
            <w:pPr>
              <w:tabs>
                <w:tab w:val="left" w:pos="720"/>
              </w:tabs>
              <w:spacing w:line="360" w:lineRule="auto"/>
              <w:jc w:val="center"/>
              <w:rPr>
                <w:rFonts w:ascii="Arial" w:hAnsi="Arial" w:cs="Arial"/>
                <w:sz w:val="24"/>
                <w:szCs w:val="24"/>
              </w:rPr>
            </w:pPr>
            <w:r>
              <w:rPr>
                <w:rFonts w:ascii="Arial" w:hAnsi="Arial" w:cs="Arial"/>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36" w:type="dxa"/>
          </w:tcPr>
          <w:p>
            <w:pPr>
              <w:tabs>
                <w:tab w:val="left" w:pos="720"/>
              </w:tabs>
              <w:spacing w:line="360" w:lineRule="auto"/>
              <w:jc w:val="center"/>
              <w:rPr>
                <w:rFonts w:ascii="Arial" w:hAnsi="Arial" w:cs="Arial"/>
                <w:sz w:val="24"/>
                <w:szCs w:val="24"/>
              </w:rPr>
            </w:pPr>
            <w:r>
              <w:rPr>
                <w:rFonts w:ascii="Arial" w:hAnsi="Arial" w:cs="Arial"/>
                <w:sz w:val="24"/>
                <w:szCs w:val="24"/>
              </w:rPr>
              <w:t>价值时点距合同签订日大于15年</w:t>
            </w:r>
          </w:p>
        </w:tc>
        <w:tc>
          <w:tcPr>
            <w:tcW w:w="3302" w:type="dxa"/>
          </w:tcPr>
          <w:p>
            <w:pPr>
              <w:tabs>
                <w:tab w:val="left" w:pos="720"/>
              </w:tabs>
              <w:spacing w:line="360" w:lineRule="auto"/>
              <w:jc w:val="center"/>
              <w:rPr>
                <w:rFonts w:ascii="Arial" w:hAnsi="Arial" w:cs="Arial"/>
                <w:sz w:val="24"/>
                <w:szCs w:val="24"/>
              </w:rPr>
            </w:pPr>
            <w:r>
              <w:rPr>
                <w:rFonts w:ascii="Arial" w:hAnsi="Arial" w:cs="Arial"/>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36" w:type="dxa"/>
          </w:tcPr>
          <w:p>
            <w:pPr>
              <w:tabs>
                <w:tab w:val="left" w:pos="720"/>
              </w:tabs>
              <w:spacing w:line="360" w:lineRule="auto"/>
              <w:jc w:val="center"/>
              <w:rPr>
                <w:rFonts w:ascii="Arial" w:hAnsi="Arial" w:cs="Arial"/>
                <w:sz w:val="24"/>
                <w:szCs w:val="24"/>
              </w:rPr>
            </w:pPr>
            <w:r>
              <w:rPr>
                <w:rFonts w:hint="eastAsia" w:ascii="Arial" w:hAnsi="Arial" w:cs="Arial"/>
                <w:sz w:val="24"/>
                <w:szCs w:val="24"/>
              </w:rPr>
              <w:t>加急</w:t>
            </w:r>
          </w:p>
        </w:tc>
        <w:tc>
          <w:tcPr>
            <w:tcW w:w="3302" w:type="dxa"/>
          </w:tcPr>
          <w:p>
            <w:pPr>
              <w:tabs>
                <w:tab w:val="left" w:pos="720"/>
              </w:tabs>
              <w:spacing w:line="360" w:lineRule="auto"/>
              <w:jc w:val="center"/>
              <w:rPr>
                <w:rFonts w:ascii="Arial" w:hAnsi="Arial" w:cs="Arial"/>
                <w:sz w:val="24"/>
                <w:szCs w:val="24"/>
              </w:rPr>
            </w:pPr>
            <w:r>
              <w:rPr>
                <w:rFonts w:hint="eastAsia" w:ascii="Arial" w:hAnsi="Arial" w:cs="Arial"/>
                <w:sz w:val="24"/>
                <w:szCs w:val="24"/>
              </w:rPr>
              <w:t>1.5</w:t>
            </w:r>
          </w:p>
        </w:tc>
      </w:tr>
    </w:tbl>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支付方式：乙方实地查勘后，甲方即支付给乙方</w:t>
      </w:r>
      <w:r>
        <w:rPr>
          <w:rFonts w:hint="eastAsia" w:ascii="宋体" w:hAnsi="宋体" w:cs="宋体"/>
          <w:b/>
          <w:sz w:val="24"/>
          <w:szCs w:val="24"/>
          <w:lang w:val="en-US" w:eastAsia="zh-CN"/>
        </w:rPr>
        <w:t>5</w:t>
      </w:r>
      <w:r>
        <w:rPr>
          <w:rFonts w:hint="eastAsia" w:ascii="宋体" w:hAnsi="宋体" w:cs="宋体"/>
          <w:b/>
          <w:sz w:val="24"/>
          <w:szCs w:val="24"/>
        </w:rPr>
        <w:t>000元/套</w:t>
      </w:r>
      <w:r>
        <w:rPr>
          <w:rFonts w:hint="eastAsia" w:ascii="宋体" w:hAnsi="宋体" w:cs="宋体"/>
          <w:sz w:val="24"/>
          <w:szCs w:val="24"/>
        </w:rPr>
        <w:t>作为预收款；提交电子版《不动产估价报告书》后三个工作日内，甲方支付给乙方全款，收到全款后乙方向甲方提交纸质版《不动产估价报告书》。乙方应在每次收款前提供等额的增值税普通发票。</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乙方账号如下：</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名：北京康正宏基房地产评估有限公司</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开户银行：交通银行北京</w:t>
      </w:r>
      <w:r>
        <w:rPr>
          <w:rFonts w:hint="eastAsia" w:ascii="宋体" w:hAnsi="宋体" w:cs="宋体"/>
          <w:sz w:val="24"/>
          <w:szCs w:val="24"/>
          <w:lang w:eastAsia="zh-CN"/>
        </w:rPr>
        <w:t>和平里</w:t>
      </w:r>
      <w:r>
        <w:rPr>
          <w:rFonts w:hint="eastAsia" w:ascii="宋体" w:hAnsi="宋体" w:cs="宋体"/>
          <w:sz w:val="24"/>
          <w:szCs w:val="24"/>
        </w:rPr>
        <w:t>支行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开户账号：</w:t>
      </w:r>
      <w:r>
        <w:rPr>
          <w:rFonts w:ascii="宋体" w:hAnsi="宋体" w:cs="宋体"/>
          <w:sz w:val="24"/>
          <w:szCs w:val="24"/>
        </w:rPr>
        <w:t>110060739012015026873</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甲方自接到乙方提交的《不动产估价报告书》之日起五个工作日内，如对估价结果产生异议，且理由正当，可书面向乙方提出复估或重估申请。</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甲方有义务正确、恰当地使用《不动产估价报告书》。</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乙方有权要求甲方提供与估价对象相关的权属证明、财务会计信息和其他资料，以及为执行公允的评估程序所需的必要协助。</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乙方应独立、客观、公正从事估价业务；认真执行法律和行政法规，对出具《不动产报告书》承担相应的法律责任。</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乙方应对收到的甲方所提供的有关估价对象的资料妥善保管并负保密之责，非经甲方同意不得擅自公开或泄露给他人。</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如适用，乙方应对甲方复估或重估书面申请后十个工作日内完成估价对象的复估或重估报告书，交付甲方。</w:t>
      </w:r>
    </w:p>
    <w:p>
      <w:pPr>
        <w:pStyle w:val="4"/>
        <w:spacing w:before="62" w:beforeLines="20" w:after="62" w:afterLines="20"/>
        <w:ind w:firstLine="480" w:firstLineChars="200"/>
        <w:rPr>
          <w:rFonts w:ascii="宋体" w:hAnsi="宋体" w:eastAsia="宋体"/>
        </w:rPr>
      </w:pPr>
    </w:p>
    <w:p>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九、不动产估价报告书的使用者及使用范围</w:t>
      </w:r>
    </w:p>
    <w:p>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乙方履行本合同出具的《不动产估价报告书》的使用者为：甲方及法律法规规定的使用者。</w:t>
      </w:r>
      <w:r>
        <w:rPr>
          <w:rFonts w:ascii="宋体" w:hAnsi="宋体" w:cs="宋体"/>
          <w:sz w:val="24"/>
          <w:szCs w:val="24"/>
        </w:rPr>
        <w:t xml:space="preserve"> </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《不动产估价报告书》仅供甲方及法律法规规定的使用者按本合同约定的估价目的使用，乙方对上述报告使用者不当使用《不动产估价报告书》所造成的后果不承担责任。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如无法律法规规定，甲方未征得乙方事先书面同意，不得摘抄、引用或者披露《不动产估价报告书》的内容于任何公开媒体之上。</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如无法律法规规定，乙方未经甲方事先书面，不得将《不动产估价报告书》的内容向第三方提供或者公开。</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（二）发生下列情形的，甲乙双方承担各自责任：</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hint="eastAsia" w:ascii="宋体" w:hAnsi="宋体" w:cs="宋体"/>
          <w:sz w:val="24"/>
          <w:szCs w:val="24"/>
        </w:rPr>
        <w:t>，或定金不予退还，上述两者之中取其高者。</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3.甲方如未按上述条款规定的时间向乙方支付估价服务费，以甲方应付款项为基数，从逾期之日起，每逾期一日，甲方向乙方支付应付款项的万分之六作为违约金。</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4.乙方如无正当理由，逾期交付《不动产估价报告书》，每逾期一日，乙方向甲方支付估价服务费的万分之六作为违约金。</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本合同内容以及合同履行过程中的任何信息，甲乙双方及双方参与的人员应严格保密；未经对方书面同意，不得向任何第三方透露，法律法规要求披露的除外。</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十二、合同的变更、中止、解除</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本合同履行过程中，如发生《中华人民共和国民法典》、《中华人民共和国资产评估法》中允许变更或解除合同的情况，双方应依法或依约定变更或解除合同。</w:t>
      </w:r>
    </w:p>
    <w:p>
      <w:pPr>
        <w:pStyle w:val="3"/>
        <w:snapToGrid w:val="0"/>
        <w:spacing w:before="62" w:beforeLines="20" w:after="62" w:afterLines="2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本合同签订后，估价目的、估价对象、价值时点发生变化，或者估价范围发生重大变化，甲、乙双方应签订补充合同或者重新签订合同。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当估价程序所受限制对与估价目的相对应的估价结论构成重大影响时，乙方可以中止履行合同；相关限制无法排除时，乙方可以解除合同。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合同解除后，乙方根据已完成的工作量与甲方协商确定应收取或者退回的评估服务费。</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凡因本合同或与本合同有关的一切争议，甲、乙双方应友好协商解决；协商不成的，任何一方均有权向自己住所地人民法院提起诉讼，接受第一立案法院管辖。</w:t>
      </w:r>
    </w:p>
    <w:p>
      <w:pPr>
        <w:tabs>
          <w:tab w:val="left" w:pos="720"/>
          <w:tab w:val="left" w:pos="5595"/>
        </w:tabs>
        <w:spacing w:before="62" w:beforeLines="20" w:after="62" w:afterLines="20" w:line="400" w:lineRule="exact"/>
        <w:ind w:firstLine="482" w:firstLineChars="200"/>
        <w:rPr>
          <w:rFonts w:ascii="宋体"/>
          <w:b/>
          <w:bCs/>
          <w:sz w:val="24"/>
          <w:szCs w:val="24"/>
        </w:rPr>
      </w:pPr>
    </w:p>
    <w:p>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本合同经甲、乙双方签章后生效，约定事项全部完成后终止。</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ascii="宋体" w:hAnsi="宋体" w:cs="宋体"/>
          <w:sz w:val="24"/>
          <w:szCs w:val="24"/>
          <w:u w:val="single"/>
        </w:rPr>
        <w:t xml:space="preserve">  </w:t>
      </w:r>
      <w:r>
        <w:rPr>
          <w:rFonts w:hint="eastAsia" w:ascii="宋体" w:hAnsi="宋体" w:cs="宋体"/>
          <w:sz w:val="24"/>
          <w:szCs w:val="24"/>
          <w:u w:val="single"/>
        </w:rPr>
        <w:t>肆</w:t>
      </w:r>
      <w:r>
        <w:rPr>
          <w:rFonts w:ascii="宋体" w:hAnsi="宋体" w:cs="宋体"/>
          <w:sz w:val="24"/>
          <w:szCs w:val="24"/>
          <w:u w:val="single"/>
        </w:rPr>
        <w:t xml:space="preserve">  </w:t>
      </w:r>
      <w:r>
        <w:rPr>
          <w:rFonts w:hint="eastAsia" w:ascii="宋体" w:hAnsi="宋体" w:cs="宋体"/>
          <w:sz w:val="24"/>
          <w:szCs w:val="24"/>
        </w:rPr>
        <w:t>份，甲方持</w:t>
      </w:r>
      <w:r>
        <w:rPr>
          <w:rFonts w:ascii="宋体" w:hAnsi="宋体" w:cs="宋体"/>
          <w:sz w:val="24"/>
          <w:szCs w:val="24"/>
          <w:u w:val="single"/>
        </w:rPr>
        <w:t xml:space="preserve">  </w:t>
      </w:r>
      <w:r>
        <w:rPr>
          <w:rFonts w:hint="eastAsia" w:ascii="宋体" w:hAnsi="宋体" w:cs="宋体"/>
          <w:sz w:val="24"/>
          <w:szCs w:val="24"/>
          <w:u w:val="single"/>
        </w:rPr>
        <w:t>贰</w:t>
      </w:r>
      <w:r>
        <w:rPr>
          <w:rFonts w:ascii="宋体" w:hAnsi="宋体" w:cs="宋体"/>
          <w:sz w:val="24"/>
          <w:szCs w:val="24"/>
          <w:u w:val="single"/>
        </w:rPr>
        <w:t xml:space="preserve">  </w:t>
      </w:r>
      <w:r>
        <w:rPr>
          <w:rFonts w:hint="eastAsia" w:ascii="宋体" w:hAnsi="宋体" w:cs="宋体"/>
          <w:sz w:val="24"/>
          <w:szCs w:val="24"/>
        </w:rPr>
        <w:t>份，乙方持</w:t>
      </w:r>
      <w:r>
        <w:rPr>
          <w:rFonts w:ascii="宋体" w:hAnsi="宋体" w:cs="宋体"/>
          <w:sz w:val="24"/>
          <w:szCs w:val="24"/>
          <w:u w:val="single"/>
        </w:rPr>
        <w:t xml:space="preserve">  </w:t>
      </w:r>
      <w:r>
        <w:rPr>
          <w:rFonts w:hint="eastAsia" w:ascii="宋体" w:hAnsi="宋体" w:cs="宋体"/>
          <w:sz w:val="24"/>
          <w:szCs w:val="24"/>
          <w:u w:val="single"/>
        </w:rPr>
        <w:t>贰</w:t>
      </w:r>
      <w:r>
        <w:rPr>
          <w:rFonts w:ascii="宋体" w:hAnsi="宋体" w:cs="宋体"/>
          <w:sz w:val="24"/>
          <w:szCs w:val="24"/>
          <w:u w:val="single"/>
        </w:rPr>
        <w:t xml:space="preserve">  </w:t>
      </w:r>
      <w:r>
        <w:rPr>
          <w:rFonts w:hint="eastAsia" w:ascii="宋体" w:hAnsi="宋体" w:cs="宋体"/>
          <w:sz w:val="24"/>
          <w:szCs w:val="24"/>
        </w:rPr>
        <w:t>份。</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pPr>
        <w:ind w:right="105" w:firstLine="496"/>
        <w:rPr>
          <w:sz w:val="24"/>
          <w:szCs w:val="24"/>
        </w:rPr>
      </w:pPr>
    </w:p>
    <w:p>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lang w:eastAsia="zh-CN"/>
        </w:rPr>
        <w:t>签字</w:t>
      </w:r>
      <w:r>
        <w:rPr>
          <w:sz w:val="24"/>
          <w:szCs w:val="24"/>
        </w:rPr>
        <w:t xml:space="preserve">) </w:t>
      </w:r>
      <w:r>
        <w:rPr>
          <w:rFonts w:hint="eastAsia" w:cs="宋体"/>
          <w:sz w:val="24"/>
          <w:szCs w:val="24"/>
        </w:rPr>
        <w:t>：</w:t>
      </w:r>
      <w:r>
        <w:rPr>
          <w:sz w:val="24"/>
          <w:szCs w:val="24"/>
        </w:rPr>
        <w:t xml:space="preserve">                     </w:t>
      </w: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r>
        <w:rPr>
          <w:sz w:val="24"/>
          <w:szCs w:val="24"/>
        </w:rPr>
        <w:t xml:space="preserve">   </w:t>
      </w: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联系地址：</w:t>
      </w: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联系地址：</w:t>
      </w:r>
    </w:p>
    <w:p>
      <w:pPr>
        <w:spacing w:line="480" w:lineRule="auto"/>
        <w:ind w:right="108" w:firstLine="493"/>
        <w:rPr>
          <w:sz w:val="24"/>
          <w:szCs w:val="24"/>
        </w:rPr>
      </w:pPr>
      <w:r>
        <w:rPr>
          <w:rFonts w:hint="eastAsia" w:cs="宋体"/>
          <w:sz w:val="24"/>
          <w:szCs w:val="24"/>
        </w:rPr>
        <w:t>电话：</w:t>
      </w: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电话：</w:t>
      </w:r>
    </w:p>
    <w:p>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r>
        <w:rPr>
          <w:rFonts w:hint="eastAsia"/>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80" w:lineRule="auto"/>
        <w:ind w:right="108" w:firstLine="493"/>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w:t>
    </w:r>
    <w:r>
      <w:rPr>
        <w:b/>
        <w:bCs/>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36BDA"/>
    <w:rsid w:val="001570D8"/>
    <w:rsid w:val="001E3BE6"/>
    <w:rsid w:val="001E3C50"/>
    <w:rsid w:val="001F06B8"/>
    <w:rsid w:val="002620E1"/>
    <w:rsid w:val="002879A5"/>
    <w:rsid w:val="002B532C"/>
    <w:rsid w:val="002C32D3"/>
    <w:rsid w:val="002E52E4"/>
    <w:rsid w:val="003275F1"/>
    <w:rsid w:val="003C4C14"/>
    <w:rsid w:val="003F2A53"/>
    <w:rsid w:val="00427355"/>
    <w:rsid w:val="00447328"/>
    <w:rsid w:val="00463A0A"/>
    <w:rsid w:val="004839FA"/>
    <w:rsid w:val="004E4591"/>
    <w:rsid w:val="004E5FFC"/>
    <w:rsid w:val="00522090"/>
    <w:rsid w:val="00534F27"/>
    <w:rsid w:val="00541AD1"/>
    <w:rsid w:val="00543A6A"/>
    <w:rsid w:val="005500BE"/>
    <w:rsid w:val="0057646B"/>
    <w:rsid w:val="00594DD6"/>
    <w:rsid w:val="005A0132"/>
    <w:rsid w:val="005B6011"/>
    <w:rsid w:val="005E2C87"/>
    <w:rsid w:val="006926F5"/>
    <w:rsid w:val="006E4E1A"/>
    <w:rsid w:val="007A2139"/>
    <w:rsid w:val="007D0891"/>
    <w:rsid w:val="007D2EC2"/>
    <w:rsid w:val="007E29F7"/>
    <w:rsid w:val="00834F20"/>
    <w:rsid w:val="008B00A9"/>
    <w:rsid w:val="008D4FDE"/>
    <w:rsid w:val="008E11D1"/>
    <w:rsid w:val="008E33BA"/>
    <w:rsid w:val="009117F5"/>
    <w:rsid w:val="00995694"/>
    <w:rsid w:val="00997F39"/>
    <w:rsid w:val="00A22AF2"/>
    <w:rsid w:val="00A500BC"/>
    <w:rsid w:val="00A61E0D"/>
    <w:rsid w:val="00A65C3A"/>
    <w:rsid w:val="00A70DF1"/>
    <w:rsid w:val="00A7312D"/>
    <w:rsid w:val="00B21F76"/>
    <w:rsid w:val="00B656EF"/>
    <w:rsid w:val="00B7192D"/>
    <w:rsid w:val="00C21946"/>
    <w:rsid w:val="00C30D76"/>
    <w:rsid w:val="00C4132B"/>
    <w:rsid w:val="00C84E2D"/>
    <w:rsid w:val="00C861AC"/>
    <w:rsid w:val="00CB09B2"/>
    <w:rsid w:val="00CE7895"/>
    <w:rsid w:val="00D10C87"/>
    <w:rsid w:val="00D818CD"/>
    <w:rsid w:val="00E013B6"/>
    <w:rsid w:val="00E13D41"/>
    <w:rsid w:val="00E3211C"/>
    <w:rsid w:val="00E93803"/>
    <w:rsid w:val="00E95E2C"/>
    <w:rsid w:val="00EB48DF"/>
    <w:rsid w:val="00EE6EB2"/>
    <w:rsid w:val="00F3596D"/>
    <w:rsid w:val="00FC4782"/>
    <w:rsid w:val="00FD0271"/>
    <w:rsid w:val="00FE49CB"/>
    <w:rsid w:val="00FF584C"/>
    <w:rsid w:val="0D0D79D3"/>
    <w:rsid w:val="15E56B43"/>
    <w:rsid w:val="1933296C"/>
    <w:rsid w:val="1DCD6572"/>
    <w:rsid w:val="24FC1994"/>
    <w:rsid w:val="2D5C6BC2"/>
    <w:rsid w:val="3A8B07F4"/>
    <w:rsid w:val="7C5C40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qFormat/>
    <w:uiPriority w:val="99"/>
    <w:pPr>
      <w:jc w:val="left"/>
    </w:pPr>
    <w:rPr>
      <w:rFonts w:eastAsia="仿宋_GB2312"/>
      <w:sz w:val="30"/>
      <w:szCs w:val="30"/>
    </w:rPr>
  </w:style>
  <w:style w:type="paragraph" w:styleId="4">
    <w:name w:val="Body Text"/>
    <w:basedOn w:val="1"/>
    <w:link w:val="22"/>
    <w:qFormat/>
    <w:uiPriority w:val="99"/>
    <w:pPr>
      <w:spacing w:before="120" w:after="120" w:line="400" w:lineRule="exact"/>
    </w:pPr>
    <w:rPr>
      <w:rFonts w:eastAsia="仿宋_GB2312"/>
      <w:sz w:val="24"/>
      <w:szCs w:val="24"/>
    </w:rPr>
  </w:style>
  <w:style w:type="paragraph" w:styleId="5">
    <w:name w:val="Body Text Indent"/>
    <w:basedOn w:val="1"/>
    <w:link w:val="21"/>
    <w:qFormat/>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11">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2">
    <w:name w:val="Body Text 2"/>
    <w:basedOn w:val="1"/>
    <w:link w:val="23"/>
    <w:qFormat/>
    <w:uiPriority w:val="99"/>
    <w:pPr>
      <w:spacing w:before="120" w:after="120" w:line="400" w:lineRule="exact"/>
    </w:pPr>
    <w:rPr>
      <w:rFonts w:ascii="宋体" w:hAnsi="宋体" w:cs="宋体"/>
      <w:b/>
      <w:bCs/>
      <w:sz w:val="24"/>
      <w:szCs w:val="24"/>
    </w:rPr>
  </w:style>
  <w:style w:type="paragraph" w:styleId="13">
    <w:name w:val="annotation subject"/>
    <w:basedOn w:val="3"/>
    <w:next w:val="3"/>
    <w:link w:val="27"/>
    <w:semiHidden/>
    <w:unhideWhenUsed/>
    <w:qFormat/>
    <w:uiPriority w:val="99"/>
    <w:rPr>
      <w:rFonts w:eastAsia="宋体"/>
      <w:b/>
      <w:bCs/>
      <w:sz w:val="21"/>
      <w:szCs w:val="21"/>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semiHidden/>
    <w:unhideWhenUsed/>
    <w:qFormat/>
    <w:uiPriority w:val="99"/>
    <w:rPr>
      <w:sz w:val="21"/>
      <w:szCs w:val="21"/>
    </w:rPr>
  </w:style>
  <w:style w:type="character" w:customStyle="1" w:styleId="18">
    <w:name w:val="标题 1 Char"/>
    <w:link w:val="2"/>
    <w:qFormat/>
    <w:locked/>
    <w:uiPriority w:val="99"/>
    <w:rPr>
      <w:b/>
      <w:bCs/>
      <w:kern w:val="44"/>
      <w:sz w:val="44"/>
      <w:szCs w:val="44"/>
    </w:rPr>
  </w:style>
  <w:style w:type="paragraph" w:styleId="19">
    <w:name w:val="List Paragraph"/>
    <w:basedOn w:val="1"/>
    <w:qFormat/>
    <w:uiPriority w:val="99"/>
    <w:pPr>
      <w:widowControl/>
      <w:ind w:right="50" w:rightChars="50" w:firstLine="420" w:firstLineChars="200"/>
    </w:pPr>
    <w:rPr>
      <w:rFonts w:ascii="Calibri" w:hAnsi="Calibri" w:cs="Calibri"/>
    </w:rPr>
  </w:style>
  <w:style w:type="paragraph" w:customStyle="1" w:styleId="20">
    <w:name w:val="TOC Heading"/>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21">
    <w:name w:val="正文文本缩进 Char"/>
    <w:link w:val="5"/>
    <w:qFormat/>
    <w:locked/>
    <w:uiPriority w:val="99"/>
    <w:rPr>
      <w:rFonts w:ascii="Times New Roman" w:hAnsi="Times New Roman" w:eastAsia="仿宋_GB2312" w:cs="Times New Roman"/>
      <w:sz w:val="20"/>
      <w:szCs w:val="20"/>
    </w:rPr>
  </w:style>
  <w:style w:type="character" w:customStyle="1" w:styleId="22">
    <w:name w:val="正文文本 Char"/>
    <w:link w:val="4"/>
    <w:qFormat/>
    <w:locked/>
    <w:uiPriority w:val="99"/>
    <w:rPr>
      <w:rFonts w:ascii="Times New Roman" w:hAnsi="Times New Roman" w:eastAsia="仿宋_GB2312" w:cs="Times New Roman"/>
      <w:sz w:val="20"/>
      <w:szCs w:val="20"/>
    </w:rPr>
  </w:style>
  <w:style w:type="character" w:customStyle="1" w:styleId="23">
    <w:name w:val="正文文本 2 Char"/>
    <w:link w:val="12"/>
    <w:qFormat/>
    <w:locked/>
    <w:uiPriority w:val="99"/>
    <w:rPr>
      <w:rFonts w:ascii="宋体" w:hAnsi="宋体" w:eastAsia="宋体" w:cs="宋体"/>
      <w:b/>
      <w:bCs/>
      <w:sz w:val="20"/>
      <w:szCs w:val="20"/>
    </w:rPr>
  </w:style>
  <w:style w:type="character" w:customStyle="1" w:styleId="24">
    <w:name w:val="批注文字 Char"/>
    <w:link w:val="3"/>
    <w:semiHidden/>
    <w:qFormat/>
    <w:locked/>
    <w:uiPriority w:val="99"/>
    <w:rPr>
      <w:rFonts w:ascii="Times New Roman" w:hAnsi="Times New Roman" w:eastAsia="仿宋_GB2312" w:cs="Times New Roman"/>
      <w:sz w:val="30"/>
      <w:szCs w:val="30"/>
    </w:rPr>
  </w:style>
  <w:style w:type="character" w:customStyle="1" w:styleId="25">
    <w:name w:val="页眉 Char"/>
    <w:link w:val="9"/>
    <w:semiHidden/>
    <w:qFormat/>
    <w:locked/>
    <w:uiPriority w:val="99"/>
    <w:rPr>
      <w:rFonts w:ascii="Times New Roman" w:hAnsi="Times New Roman" w:eastAsia="宋体" w:cs="Times New Roman"/>
      <w:sz w:val="18"/>
      <w:szCs w:val="18"/>
    </w:rPr>
  </w:style>
  <w:style w:type="character" w:customStyle="1" w:styleId="26">
    <w:name w:val="页脚 Char"/>
    <w:link w:val="8"/>
    <w:qFormat/>
    <w:locked/>
    <w:uiPriority w:val="99"/>
    <w:rPr>
      <w:rFonts w:ascii="Times New Roman" w:hAnsi="Times New Roman" w:eastAsia="宋体" w:cs="Times New Roman"/>
      <w:sz w:val="18"/>
      <w:szCs w:val="18"/>
    </w:rPr>
  </w:style>
  <w:style w:type="character" w:customStyle="1" w:styleId="27">
    <w:name w:val="批注主题 Char"/>
    <w:link w:val="13"/>
    <w:semiHidden/>
    <w:qFormat/>
    <w:uiPriority w:val="99"/>
    <w:rPr>
      <w:rFonts w:ascii="Times New Roman" w:hAnsi="Times New Roman" w:eastAsia="仿宋_GB2312" w:cs="Times New Roman"/>
      <w:b/>
      <w:bCs/>
      <w:kern w:val="2"/>
      <w:sz w:val="21"/>
      <w:szCs w:val="21"/>
    </w:rPr>
  </w:style>
  <w:style w:type="character" w:customStyle="1" w:styleId="28">
    <w:name w:val="批注框文本 Char"/>
    <w:link w:val="7"/>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462</Words>
  <Characters>2635</Characters>
  <Lines>21</Lines>
  <Paragraphs>6</Paragraphs>
  <TotalTime>58</TotalTime>
  <ScaleCrop>false</ScaleCrop>
  <LinksUpToDate>false</LinksUpToDate>
  <CharactersWithSpaces>3091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2017-11-23T05:08:00Z</dcterms:created>
  <dc:creator>topvaluer</dc:creator>
  <cp:lastModifiedBy>俊然</cp:lastModifiedBy>
  <cp:lastPrinted>2021-09-03T00:36:00Z</cp:lastPrinted>
  <dcterms:modified xsi:type="dcterms:W3CDTF">2022-02-25T05:26:17Z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52CBFAD815914125B6C9D08262B1A954</vt:lpwstr>
  </property>
</Properties>
</file>